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关于高质量实施城市更新一体推进“四好”</w:t>
      </w:r>
    </w:p>
    <w:p>
      <w:pPr>
        <w:spacing w:line="6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建设的意见</w:t>
      </w:r>
    </w:p>
    <w:p>
      <w:pPr>
        <w:keepNext w:val="0"/>
        <w:keepLines w:val="0"/>
        <w:widowControl w:val="0"/>
        <w:suppressLineNumbers w:val="0"/>
        <w:spacing w:beforeAutospacing="0" w:afterAutospacing="0" w:line="660" w:lineRule="exact"/>
        <w:ind w:left="0" w:right="0"/>
        <w:contextualSpacing/>
        <w:jc w:val="center"/>
        <w:rPr>
          <w:rFonts w:hint="default" w:ascii="Times New Roman" w:hAnsi="Times New Roman" w:eastAsia="楷体_GB2312" w:cs="Times New Roman"/>
          <w:kern w:val="2"/>
          <w:sz w:val="32"/>
          <w:szCs w:val="32"/>
          <w:highlight w:val="none"/>
        </w:rPr>
      </w:pPr>
      <w:r>
        <w:rPr>
          <w:rFonts w:hint="default" w:ascii="楷体_GB2312" w:hAnsi="Times New Roman" w:eastAsia="楷体_GB2312" w:cs="楷体_GB2312"/>
          <w:kern w:val="2"/>
          <w:sz w:val="32"/>
          <w:szCs w:val="32"/>
          <w:highlight w:val="none"/>
          <w:lang w:val="en-US" w:eastAsia="zh-CN" w:bidi="ar"/>
        </w:rPr>
        <w:t>（</w:t>
      </w:r>
      <w:r>
        <w:rPr>
          <w:rFonts w:hint="eastAsia" w:ascii="楷体_GB2312" w:hAnsi="Times New Roman" w:eastAsia="楷体_GB2312" w:cs="楷体_GB2312"/>
          <w:kern w:val="2"/>
          <w:sz w:val="32"/>
          <w:szCs w:val="32"/>
          <w:highlight w:val="none"/>
          <w:lang w:eastAsia="zh-CN" w:bidi="ar"/>
        </w:rPr>
        <w:t>征求意见稿</w:t>
      </w:r>
      <w:r>
        <w:rPr>
          <w:rFonts w:hint="default" w:ascii="楷体_GB2312" w:hAnsi="Times New Roman" w:eastAsia="楷体_GB2312" w:cs="楷体_GB2312"/>
          <w:kern w:val="2"/>
          <w:sz w:val="32"/>
          <w:szCs w:val="32"/>
          <w:highlight w:val="none"/>
          <w:lang w:val="en-US" w:eastAsia="zh-CN" w:bidi="ar"/>
        </w:rPr>
        <w:t>）</w:t>
      </w:r>
    </w:p>
    <w:p>
      <w:pPr>
        <w:keepNext w:val="0"/>
        <w:keepLines w:val="0"/>
        <w:widowControl w:val="0"/>
        <w:suppressLineNumbers w:val="0"/>
        <w:spacing w:beforeAutospacing="0" w:after="0" w:afterAutospacing="0" w:line="640" w:lineRule="exact"/>
        <w:ind w:left="0" w:right="0" w:firstLine="640"/>
        <w:contextualSpacing/>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lang w:val="en-US" w:eastAsia="zh-CN" w:bidi="ar"/>
        </w:rPr>
        <w:t xml:space="preserve"> </w:t>
      </w:r>
      <w:r>
        <w:rPr>
          <w:rFonts w:hint="default" w:ascii="Times New Roman" w:hAnsi="Times New Roman" w:eastAsia="仿宋_GB2312" w:cs="Times New Roman"/>
          <w:kern w:val="2"/>
          <w:sz w:val="32"/>
          <w:szCs w:val="32"/>
          <w:highlight w:val="none"/>
          <w:lang w:eastAsia="zh-CN" w:bidi="ar"/>
        </w:rPr>
        <w:t xml:space="preserve">  </w:t>
      </w:r>
    </w:p>
    <w:p>
      <w:pPr>
        <w:keepNext w:val="0"/>
        <w:keepLines w:val="0"/>
        <w:widowControl w:val="0"/>
        <w:suppressLineNumbers w:val="0"/>
        <w:spacing w:beforeAutospacing="0" w:after="0" w:afterAutospacing="0" w:line="640" w:lineRule="exact"/>
        <w:ind w:left="0" w:right="0"/>
        <w:contextualSpacing/>
        <w:jc w:val="both"/>
        <w:rPr>
          <w:rFonts w:hint="default" w:ascii="Times New Roman" w:hAnsi="Times New Roman" w:eastAsia="仿宋_GB2312" w:cs="仿宋_GB2312"/>
          <w:kern w:val="2"/>
          <w:sz w:val="32"/>
          <w:szCs w:val="32"/>
          <w:highlight w:val="none"/>
        </w:rPr>
      </w:pPr>
      <w:r>
        <w:rPr>
          <w:rFonts w:hint="default" w:ascii="仿宋_GB2312" w:hAnsi="Times New Roman" w:eastAsia="仿宋_GB2312" w:cs="仿宋_GB2312"/>
          <w:kern w:val="2"/>
          <w:sz w:val="32"/>
          <w:szCs w:val="32"/>
          <w:highlight w:val="none"/>
          <w:lang w:val="en-US" w:eastAsia="zh-CN" w:bidi="ar"/>
        </w:rPr>
        <w:t>各市、县（市、区）人民政府，省政府直属各单位：</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为深入贯彻落实中央和省委城市工作会议精神，依据《中共中央办公厅 国务院办公厅关于持续推进城市更新行动的意见》《中共浙江省委 浙江省人民政府关于推动城市高质量发展加快建设现代化人民城市的实施意见》，制定本意见。</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方正仿宋_GB2312" w:cs="Times New Roman"/>
          <w:sz w:val="32"/>
          <w:szCs w:val="32"/>
          <w:highlight w:val="none"/>
        </w:rPr>
      </w:pPr>
      <w:r>
        <w:rPr>
          <w:rFonts w:hint="default" w:ascii="Times New Roman" w:hAnsi="Times New Roman" w:eastAsia="黑体" w:cs="Times New Roman"/>
          <w:sz w:val="32"/>
          <w:szCs w:val="32"/>
          <w:highlight w:val="none"/>
        </w:rPr>
        <w:t>一、总体要求</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坚持以习近平新时代中国特色社会主义思想为指导，全面贯彻党的二十</w:t>
      </w:r>
      <w:r>
        <w:rPr>
          <w:rFonts w:hint="default" w:ascii="Times New Roman" w:hAnsi="Times New Roman" w:eastAsia="仿宋" w:cs="Times New Roman"/>
          <w:sz w:val="32"/>
          <w:szCs w:val="32"/>
          <w:highlight w:val="none"/>
          <w:lang w:val="en-US" w:eastAsia="zh-CN"/>
        </w:rPr>
        <w:t>大和</w:t>
      </w:r>
      <w:r>
        <w:rPr>
          <w:rFonts w:hint="default" w:ascii="Times New Roman" w:hAnsi="Times New Roman" w:eastAsia="仿宋" w:cs="Times New Roman"/>
          <w:sz w:val="32"/>
          <w:szCs w:val="32"/>
          <w:highlight w:val="none"/>
        </w:rPr>
        <w:t>二十届历次全会精神，按照省委省政府决策部署，牢固树立和践行正确政绩观，以打造“浙里城市、幸福家园”金名片为目标，以提升城市功能和品质为主线，围绕构建舒适宜居的生活空间、创新活力的发展空间、绿色低碳的生态空间、传承活化的文韵空间、智慧韧性的安全空间，着力探索“创新即生活，生活即场景”的混合功能新形态，加快实施“重点工作+重大改革”，推动城市高质量发展。到2030年，全省累计建成城镇建设高质量样板1000个，形成一批</w:t>
      </w:r>
      <w:r>
        <w:rPr>
          <w:rFonts w:hint="default" w:ascii="Times New Roman" w:hAnsi="Times New Roman" w:eastAsia="仿宋" w:cs="Times New Roman"/>
          <w:sz w:val="32"/>
          <w:szCs w:val="32"/>
          <w:highlight w:val="none"/>
          <w:lang w:eastAsia="zh-CN"/>
        </w:rPr>
        <w:t>具有</w:t>
      </w:r>
      <w:r>
        <w:rPr>
          <w:rFonts w:hint="default" w:ascii="Times New Roman" w:hAnsi="Times New Roman" w:eastAsia="仿宋" w:cs="Times New Roman"/>
          <w:sz w:val="32"/>
          <w:szCs w:val="32"/>
          <w:highlight w:val="none"/>
        </w:rPr>
        <w:t>浙江辨识度、全国影响力的城市更新理论成果、制度成果、实践成果。</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二、重点工作</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楷体_GB2312" w:cs="Times New Roman"/>
          <w:b/>
          <w:sz w:val="32"/>
          <w:szCs w:val="32"/>
          <w:highlight w:val="none"/>
        </w:rPr>
        <w:t>（一）实施新建住宅品质提升行动。</w:t>
      </w:r>
      <w:r>
        <w:rPr>
          <w:rFonts w:hint="default" w:ascii="Times New Roman" w:hAnsi="Times New Roman" w:eastAsia="仿宋" w:cs="Times New Roman"/>
          <w:sz w:val="32"/>
          <w:szCs w:val="32"/>
          <w:highlight w:val="none"/>
        </w:rPr>
        <w:t>全链条提高设计、建造、维护、服务水平，迭代设计标准和容积率计算规则，强化新材料、新工艺、新技术运用，加强房屋全生命周期安全管理，完善社区商业和公共配套设施。优化土地供应，因地制宜加大规划、财税、金融等政策支持力度，推动新建商品住宅全面建成“好房子”。到2030年，全面形成具有浙江特色的“好房子”建造范式。</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楷体_GB2312" w:cs="Times New Roman"/>
          <w:b/>
          <w:sz w:val="32"/>
          <w:szCs w:val="32"/>
          <w:highlight w:val="none"/>
        </w:rPr>
        <w:t>（二）实施老旧住宅改造焕新行动。</w:t>
      </w:r>
      <w:r>
        <w:rPr>
          <w:rFonts w:hint="default" w:ascii="Times New Roman" w:hAnsi="Times New Roman" w:eastAsia="仿宋" w:cs="Times New Roman"/>
          <w:sz w:val="32"/>
          <w:szCs w:val="32"/>
          <w:highlight w:val="none"/>
        </w:rPr>
        <w:t>围绕把“老房子”改造成“好房子”，构建“一站式、高品质、短过渡、优价格”的老旧住宅改造焕新服务模式。针对居民不同层次改造需求，提供菜单式服务，给予特殊群体一定政策倾斜。推广装配式装修和AI辅助设计等应用，打造安全、舒适、绿色的智能空间。推动厨卫局部改造、适老化改造、无障碍改造等，开展“堵漏裂臭”问题专项整治，实施楼道、立面、燃气管道等综合整治，加强施工过程管控，鼓励各地因地制宜提供过渡期生活保障。到2030年，全省老旧住宅改造焕新模式成熟定型，形成一批便捷有感、质量有感</w:t>
      </w:r>
      <w:r>
        <w:rPr>
          <w:rFonts w:hint="default" w:ascii="Times New Roman" w:hAnsi="Times New Roman" w:eastAsia="仿宋" w:cs="Times New Roman"/>
          <w:sz w:val="32"/>
          <w:szCs w:val="32"/>
          <w:highlight w:val="none"/>
          <w:lang w:eastAsia="zh-CN"/>
        </w:rPr>
        <w:t>、速度有感、价格有感</w:t>
      </w:r>
      <w:r>
        <w:rPr>
          <w:rFonts w:hint="default" w:ascii="Times New Roman" w:hAnsi="Times New Roman" w:eastAsia="仿宋" w:cs="Times New Roman"/>
          <w:sz w:val="32"/>
          <w:szCs w:val="32"/>
          <w:highlight w:val="none"/>
        </w:rPr>
        <w:t>的可复制可推广实践经验。</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楷体_GB2312" w:cs="Times New Roman"/>
          <w:b/>
          <w:sz w:val="32"/>
          <w:szCs w:val="32"/>
          <w:highlight w:val="none"/>
        </w:rPr>
        <w:t>（三）实施城镇危旧小区自主更新行动。</w:t>
      </w:r>
      <w:r>
        <w:rPr>
          <w:rFonts w:hint="default" w:ascii="Times New Roman" w:hAnsi="Times New Roman" w:eastAsia="仿宋" w:cs="Times New Roman"/>
          <w:sz w:val="32"/>
          <w:szCs w:val="32"/>
          <w:highlight w:val="none"/>
        </w:rPr>
        <w:t>组织开展第四次全省城镇房屋调查登记，建立健全危房信息台账，推动城镇危房治理改造。稳妥有序推动危旧小区自主更新、原拆原建试点，鼓励各地因地制宜制定危旧小区自主更新的支持政策，完善资金筹措、容积率奖励、产权登记等方面落地路径。到2030年，实现城镇危房动态清零，城镇危旧小区自主更新政策技术体系基本形成，形成一批落地项目。</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rPr>
      </w:pPr>
      <w:r>
        <w:rPr>
          <w:rFonts w:hint="default" w:ascii="Times New Roman" w:hAnsi="Times New Roman" w:eastAsia="楷体_GB2312" w:cs="Times New Roman"/>
          <w:b/>
          <w:sz w:val="32"/>
          <w:szCs w:val="32"/>
          <w:highlight w:val="none"/>
        </w:rPr>
        <w:t>（四）实施社区更新扩面行动。</w:t>
      </w:r>
      <w:r>
        <w:rPr>
          <w:rFonts w:hint="default" w:ascii="Times New Roman" w:hAnsi="Times New Roman" w:eastAsia="仿宋" w:cs="Times New Roman"/>
          <w:sz w:val="32"/>
          <w:szCs w:val="32"/>
          <w:highlight w:val="none"/>
        </w:rPr>
        <w:t>聚焦打造幸福美好家园，一体推动未来社区（完整社区）与现代社区融合发展，完善社区托育、养老、医疗、体育等各类配套设施建设，集成打造社区公共服务矩阵。加快健全普惠便捷的“一老一小”服务体系，推进嵌入式服务设施建设，打造友好场景。因地制宜推进建成20年以上老旧小区更新，推动既有住宅加装电梯、老旧电梯更新改造。聚焦青年人群，打造产业（创新）社区。实施青年安居行动，加力建设一批青年安居试点项目。到2030年，新建成未来社区（完整社区）1000个，覆盖城镇社区比例超过40%。</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楷体_GB2312" w:cs="Times New Roman"/>
          <w:b/>
          <w:sz w:val="32"/>
          <w:szCs w:val="32"/>
          <w:highlight w:val="none"/>
        </w:rPr>
        <w:t>（五）实施物业服务质量提升行动。</w:t>
      </w:r>
      <w:r>
        <w:rPr>
          <w:rFonts w:hint="default" w:ascii="Times New Roman" w:hAnsi="Times New Roman" w:eastAsia="仿宋" w:cs="Times New Roman"/>
          <w:sz w:val="32"/>
          <w:szCs w:val="32"/>
          <w:highlight w:val="none"/>
        </w:rPr>
        <w:t>健全完善党建引领居委会、业主委员会和物业服务企业三方协同共治机制，规范业主委员会组建运行，倡导成立物业管理委员会。建立物业服务合同备案制度和物业服务企业分级分类监管机制。鼓励有条件的小区推行“酬金制”付费模式。推进片区城市服务与小区物业服务一体化，抓好老旧小区物业服务提质增效。探索“物业服务+生活服务”模式，推动城市管理进小区、物业服务进家庭。加强公安、市场监管、消防等部门联动，深化大数据、人工智能等新技术应用，促进共建共享，提高物业服务治理水平。到2030年，专业物业服务覆盖率达96%，基本构建运行规范、质价相符、和谐有序的物业服务新格局。</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楷体_GB2312" w:cs="Times New Roman"/>
          <w:b/>
          <w:sz w:val="32"/>
          <w:szCs w:val="32"/>
          <w:highlight w:val="none"/>
        </w:rPr>
        <w:t>（六）实施城市片区更新改造行动。</w:t>
      </w:r>
      <w:r>
        <w:rPr>
          <w:rFonts w:hint="default" w:ascii="Times New Roman" w:hAnsi="Times New Roman" w:eastAsia="仿宋" w:cs="Times New Roman"/>
          <w:sz w:val="32"/>
          <w:szCs w:val="32"/>
          <w:highlight w:val="none"/>
        </w:rPr>
        <w:t>加快城市存量空间转化为新经济人才的低成本创新创业空间，协同推进厂区、商区、街区等更新活化，开展老旧厂区（园区）“工改工”“工改商”“工改体”等改造，推动专业市场及周边区域一体化更新，加快功能转换、活力提升。开展老城区、老街区资源调查，保护修缮一批历史文化街区、历史建筑。聚焦城乡接合部等重点区域，推进城乡融合片区提升，推动优质公共服务延伸覆盖、均衡配置。到2030年，更新改造重点片区800个。</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楷体_GB2312" w:cs="Times New Roman"/>
          <w:b/>
          <w:sz w:val="32"/>
          <w:szCs w:val="32"/>
          <w:highlight w:val="none"/>
        </w:rPr>
        <w:t>（七）实施公共空间“微改精提”行动。</w:t>
      </w:r>
      <w:r>
        <w:rPr>
          <w:rFonts w:hint="default" w:ascii="Times New Roman" w:hAnsi="Times New Roman" w:eastAsia="仿宋" w:cs="Times New Roman"/>
          <w:sz w:val="32"/>
          <w:szCs w:val="32"/>
          <w:highlight w:val="none"/>
        </w:rPr>
        <w:t>聚焦既有建筑更新利用、街巷空间更新、口袋公园建设、桥下空间利用等开展小尺度、精细化更新，因地制宜植入文体设施、体验消费等功能场景。持续推进城市公园绿地开放共享改革，提高群众获得感、满意度。鼓励支持贯通城市绿道网，推动与居民小区、轨道交通、地面交通、公服设施等无缝衔接。到2030年，新改建绿道500条，实施小微空间更新5000处以上。</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rPr>
      </w:pPr>
      <w:r>
        <w:rPr>
          <w:rFonts w:hint="default" w:ascii="Times New Roman" w:hAnsi="Times New Roman" w:eastAsia="楷体_GB2312" w:cs="Times New Roman"/>
          <w:b/>
          <w:sz w:val="32"/>
          <w:szCs w:val="32"/>
          <w:highlight w:val="none"/>
        </w:rPr>
        <w:t>（八）实施基础设施补短提效行动。</w:t>
      </w:r>
      <w:r>
        <w:rPr>
          <w:rFonts w:hint="default" w:ascii="Times New Roman" w:hAnsi="Times New Roman" w:eastAsia="仿宋" w:cs="Times New Roman"/>
          <w:sz w:val="32"/>
          <w:szCs w:val="32"/>
          <w:highlight w:val="none"/>
        </w:rPr>
        <w:t>开展城市地下管网更新改造行动，推进道路配建地下管廊及缆线管沟，完善城市道路与地下管网、随桥管线建设运维等协调机制。优化城市快速路布局，完善路网体系，构建绿色慢行交通网络。聚焦城乡一体高质量融合发展，推动城镇基础设施向农村延伸，实施城乡供水一体化提升工程，统筹规划建设城乡污水处理设施和消防用水设施，加快城乡一体通信基础设施建设，加快城镇燃气管网向周边集中安置村镇辐射，加快5G RedCap从县城全域覆盖向重点村镇延伸。到2030年，新建改造供水管网1500公里、燃气管网1500公里，城市污水集中收集率达85%，建成5G基站36万个。</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三、重大改革</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楷体_GB2312" w:cs="Times New Roman"/>
          <w:b/>
          <w:sz w:val="32"/>
          <w:szCs w:val="32"/>
          <w:highlight w:val="none"/>
        </w:rPr>
        <w:t>（一）推动城市建设管理统筹协调机制改革</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rPr>
      </w:pPr>
      <w:r>
        <w:rPr>
          <w:rFonts w:hint="default" w:ascii="Times New Roman" w:hAnsi="Times New Roman" w:eastAsia="仿宋" w:cs="Times New Roman"/>
          <w:sz w:val="32"/>
          <w:szCs w:val="32"/>
          <w:highlight w:val="none"/>
        </w:rPr>
        <w:t>充分发挥省环境建设提升领导小组统筹协调作用，健全省市县三级联动工作推进体系，完善以需求为导向、以项目为牵引，住房城乡建设部门牵头，发展改革、自然资源、文化旅游、金融监管等多部门协同联动的城市建设统筹推进机制。优化城市更新项目实施机制，全口径动态谋划城市更新项目库，强化更新项目全过程管理和精准调度。</w:t>
      </w:r>
    </w:p>
    <w:p>
      <w:pPr>
        <w:adjustRightInd w:val="0"/>
        <w:snapToGrid w:val="0"/>
        <w:spacing w:after="0" w:line="640" w:lineRule="exact"/>
        <w:ind w:firstLine="642" w:firstLineChars="200"/>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（二）推动规划协同服务机制改革</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方正仿宋_GB2312" w:cs="Times New Roman"/>
          <w:sz w:val="32"/>
          <w:szCs w:val="32"/>
          <w:highlight w:val="none"/>
        </w:rPr>
      </w:pPr>
      <w:r>
        <w:rPr>
          <w:rFonts w:hint="default" w:ascii="Times New Roman" w:hAnsi="Times New Roman" w:eastAsia="仿宋" w:cs="Times New Roman"/>
          <w:sz w:val="32"/>
          <w:szCs w:val="32"/>
          <w:highlight w:val="none"/>
        </w:rPr>
        <w:t>建立城市体检与城市更新一体化推进机制，完善“专项规划—片区策划—项目实施方案”规划实施体系。强化城市更新专项规划与国土空间总体规划的衔接，做好重点更新区块详细规划评估、优化。健全住房城乡建设、自然资源部门工作联动机制，统筹编制实施方案，加强重点片区、重点项目、跨区域项目联合服务，特殊项目提级开展部门协调。因地制宜探索推进山地城市试点建设，建立健全山地城市试点建设指引体系。</w:t>
      </w:r>
    </w:p>
    <w:p>
      <w:pPr>
        <w:keepNext w:val="0"/>
        <w:keepLines w:val="0"/>
        <w:pageBreakBefore w:val="0"/>
        <w:widowControl w:val="0"/>
        <w:kinsoku/>
        <w:wordWrap/>
        <w:overflowPunct/>
        <w:topLinePunct w:val="0"/>
        <w:autoSpaceDE/>
        <w:autoSpaceDN/>
        <w:bidi w:val="0"/>
        <w:adjustRightInd/>
        <w:snapToGrid/>
        <w:spacing w:line="660" w:lineRule="exact"/>
        <w:ind w:firstLine="642" w:firstLineChars="200"/>
        <w:textAlignment w:val="auto"/>
        <w:rPr>
          <w:rFonts w:hint="default" w:ascii="Times New Roman" w:hAnsi="Times New Roman" w:eastAsia="方正仿宋_GB2312" w:cs="Times New Roman"/>
          <w:sz w:val="32"/>
          <w:szCs w:val="32"/>
          <w:highlight w:val="none"/>
        </w:rPr>
      </w:pPr>
      <w:r>
        <w:rPr>
          <w:rFonts w:hint="default" w:ascii="Times New Roman" w:hAnsi="Times New Roman" w:eastAsia="楷体_GB2312" w:cs="Times New Roman"/>
          <w:b/>
          <w:sz w:val="32"/>
          <w:szCs w:val="32"/>
          <w:highlight w:val="none"/>
        </w:rPr>
        <w:t>（三）推动城市更新项目审批“一件事”改革</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rPr>
      </w:pPr>
      <w:r>
        <w:rPr>
          <w:rFonts w:hint="default" w:ascii="Times New Roman" w:hAnsi="Times New Roman" w:eastAsia="仿宋" w:cs="Times New Roman"/>
          <w:sz w:val="32"/>
          <w:szCs w:val="32"/>
          <w:highlight w:val="none"/>
        </w:rPr>
        <w:t>加快推动审批模式从管控型向服务型转变，建立健全适应存量时代的跨部门协同办理、审查工作机制。优化住房城乡建设、发展改革、自然资源等部门联合审查流程，完善既有建筑盘活利用消防技术标准。探索推行分期消防验收、多方联合会商、带方案出让、模拟审批等创新模式，促进“拿地即发证、拿地即开工”落地见效。</w:t>
      </w:r>
    </w:p>
    <w:p>
      <w:pPr>
        <w:adjustRightInd w:val="0"/>
        <w:snapToGrid w:val="0"/>
        <w:spacing w:after="0" w:line="640" w:lineRule="exact"/>
        <w:ind w:firstLine="642" w:firstLineChars="200"/>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（四）推动城镇社区公共服务集成落地改革</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楷体_GB2312" w:cs="Times New Roman"/>
          <w:sz w:val="32"/>
          <w:szCs w:val="32"/>
          <w:highlight w:val="none"/>
        </w:rPr>
      </w:pPr>
      <w:r>
        <w:rPr>
          <w:rFonts w:hint="default" w:ascii="Times New Roman" w:hAnsi="Times New Roman" w:eastAsia="仿宋" w:cs="Times New Roman"/>
          <w:sz w:val="32"/>
          <w:szCs w:val="32"/>
          <w:highlight w:val="none"/>
        </w:rPr>
        <w:t>积极探索通过盘活存量用地、改造利用既有建筑等方式，扩大优质公共服务供给，建设一刻钟便民生活圈。根据人口结构、分布变化及时优化教育、托育、就业、健康、体育等设施配置，支持公共服务设施功能复合设置与灵活转换。研究制定城市适老化建设与更新指南，提高质量效益，支持各地开展创新实践。</w:t>
      </w:r>
    </w:p>
    <w:p>
      <w:pPr>
        <w:adjustRightInd w:val="0"/>
        <w:snapToGrid w:val="0"/>
        <w:spacing w:after="0" w:line="640" w:lineRule="exact"/>
        <w:ind w:firstLine="642" w:firstLineChars="200"/>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（五）推动城市更新多元化投融资机制改革</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楷体_GB2312" w:cs="Times New Roman"/>
          <w:sz w:val="32"/>
          <w:szCs w:val="32"/>
          <w:highlight w:val="none"/>
        </w:rPr>
      </w:pPr>
      <w:r>
        <w:rPr>
          <w:rFonts w:hint="default" w:ascii="Times New Roman" w:hAnsi="Times New Roman" w:eastAsia="仿宋" w:cs="Times New Roman"/>
          <w:sz w:val="32"/>
          <w:szCs w:val="32"/>
          <w:highlight w:val="none"/>
        </w:rPr>
        <w:t>用足用好中央预算内投资、超长期特别国债、新型政策性金融工具等资金支持。健全金融服务团机制，搭建政银企合作平台。创新推出城市更新贷、经营权质押、大片区长周期等金融产品和金融服务。支持符合条件的项目通过资产证券化、REITs等方式进行市场化融资，引导社会资本广泛参与。强化运营前置和收益分析，推动城市更新项目可持续运营。稳步推进市政公用事业价格改革。</w:t>
      </w:r>
    </w:p>
    <w:p>
      <w:pPr>
        <w:adjustRightInd w:val="0"/>
        <w:snapToGrid w:val="0"/>
        <w:spacing w:after="0" w:line="640" w:lineRule="exact"/>
        <w:ind w:firstLine="642" w:firstLineChars="200"/>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（六）推动城市运行安全监管机制改革</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方正仿宋_GB2312" w:cs="Times New Roman"/>
          <w:sz w:val="32"/>
          <w:szCs w:val="32"/>
          <w:highlight w:val="none"/>
        </w:rPr>
      </w:pPr>
      <w:r>
        <w:rPr>
          <w:rFonts w:hint="default" w:ascii="Times New Roman" w:hAnsi="Times New Roman" w:eastAsia="仿宋" w:cs="Times New Roman"/>
          <w:sz w:val="32"/>
          <w:szCs w:val="32"/>
          <w:highlight w:val="none"/>
        </w:rPr>
        <w:t>深入开展市政公用设施安全运维机制改革省域试点，制订隐患排查、安全评估等技术导则，迭代韧性城市智慧管理系统，健全跨层级、跨部门的风险监测预警与协同处置体系。加强隐患排查整治、安全运行评估、监测预警响应和日常运维管理，加快构建标准引领、整体协同、数智赋能、安全高效的城市市政公用设施运维新格局。</w:t>
      </w:r>
    </w:p>
    <w:p>
      <w:pPr>
        <w:adjustRightInd w:val="0"/>
        <w:snapToGrid w:val="0"/>
        <w:spacing w:after="0" w:line="640" w:lineRule="exact"/>
        <w:ind w:firstLine="640" w:firstLineChars="200"/>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四、组织保障</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各地要加强组织领导，强化政策统筹，落实资金保障，健全标准体系，加力推动高质量实施城市更新一体推进“四好”建设。各级住房城乡建设部门要发挥牵头作用，会同相关部门加强协调支持，完善政策机制，形成“各负其责、齐抓共管、协同高效”的工作格局。坚持“案例就是路径”，支持地方因地制宜开展探索创新，合力破解难点堵点，加快工作落地见效。</w:t>
      </w:r>
    </w:p>
    <w:p>
      <w:pPr>
        <w:pStyle w:val="2"/>
        <w:spacing w:before="0"/>
        <w:rPr>
          <w:rFonts w:hint="default"/>
          <w:color w:val="FF0000"/>
          <w:highlight w:val="none"/>
          <w:lang w:eastAsia="zh-CN"/>
        </w:rPr>
      </w:pPr>
      <w:bookmarkStart w:id="0" w:name="_GoBack"/>
      <w:bookmarkEnd w:id="0"/>
    </w:p>
    <w:p>
      <w:pPr>
        <w:pStyle w:val="2"/>
        <w:spacing w:before="0"/>
        <w:rPr>
          <w:rFonts w:hint="default" w:ascii="Times New Roman" w:hAnsi="Times New Roman" w:cs="Times New Roman"/>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B0E32"/>
    <w:rsid w:val="0FF30DC4"/>
    <w:rsid w:val="37FFCF95"/>
    <w:rsid w:val="4B953D42"/>
    <w:rsid w:val="67FB0E32"/>
    <w:rsid w:val="6D7BE9C6"/>
    <w:rsid w:val="77FEF6BF"/>
    <w:rsid w:val="7DD8588C"/>
    <w:rsid w:val="9B1D2E42"/>
    <w:rsid w:val="AB73934B"/>
    <w:rsid w:val="AEEB82A1"/>
    <w:rsid w:val="B7B755F4"/>
    <w:rsid w:val="BBFF073D"/>
    <w:rsid w:val="EFFFE3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36</Words>
  <Characters>36</Characters>
  <Lines>1</Lines>
  <Paragraphs>1</Paragraphs>
  <TotalTime>1</TotalTime>
  <ScaleCrop>false</ScaleCrop>
  <LinksUpToDate>false</LinksUpToDate>
  <CharactersWithSpaces>36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2026-06-19T20:58:00Z</dcterms:created>
  <dc:creator>Echo</dc:creator>
  <cp:lastModifiedBy>user</cp:lastModifiedBy>
  <dcterms:modified xsi:type="dcterms:W3CDTF">2026-06-18T12:41:28Z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50C48E0E4E05491EA05FF286A12250FF_11</vt:lpwstr>
  </property>
  <property fmtid="{D5CDD505-2E9C-101B-9397-08002B2CF9AE}" pid="4" name="KSOTemplateDocerSaveRecord">
    <vt:lpwstr>eyJoZGlkIjoiOWNmNjJmYThiNTJjMmEzY2RhZjVjMzAzOWI4MDJiNTQiLCJ1c2VySWQiOiI0MDc2NTM1NTMifQ==</vt:lpwstr>
  </property>
</Properties>
</file>